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311ABC0" w:rsidR="005053AB" w:rsidRPr="00862CFC" w:rsidRDefault="001067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5381F6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D0C5A44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ACD-0908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DEF913B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D6DE031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La intención de esta asignatura es que el egresado adopte valores y actitudes humanistas,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que lo lleven a vivir y ejercer profesionalmente de acuerdo con principios orientados hacia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la sustentabilidad, la cual es el factor medular de la dimensión filosófica del SNIT.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pretende, entonces, la formación de ciudadanos con valores de justicia social, equidad,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respeto y cuidado del entorno físico y biológico, capaces de afrontar, desde su ámbito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profesional, las necesidades emergentes del desarrollo y los desafíos que se presentan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los escenarios natural, social-cultural y económico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CEF0F13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Debido a la trascendencia de esta materia en la formación integral del estudiante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necesario que el docente como ejemplo a seguir, participe y conozca actividades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investigación, desarrollo tecnológico, innovación, gestión, y vinculación con los sectores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sociales que pueden ser utilizados como casos de estudio de desarrollo sustentable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localidad o región.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B6CEFA0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Aplica una visión sustentable, en los ámbitos social, económico y ambiental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permitirá evaluar y disminuir el impacto de la sociedad sobre el entorno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8E4EBB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6F57F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8D83B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027159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C33ED1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DCFD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A2A0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9AB1EB" w14:textId="77777777" w:rsidR="00EA40DC" w:rsidRPr="00862CF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4A875B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5DE838A" w:rsidR="005053AB" w:rsidRPr="00862CFC" w:rsidRDefault="00731A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80AC227" w:rsidR="005053AB" w:rsidRPr="00862CFC" w:rsidRDefault="00731AD5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Escenario modificado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31AD5">
        <w:trPr>
          <w:trHeight w:val="2048"/>
        </w:trPr>
        <w:tc>
          <w:tcPr>
            <w:tcW w:w="2599" w:type="dxa"/>
          </w:tcPr>
          <w:p w14:paraId="13175B4D" w14:textId="158FC92C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5.1 Crecimiento demográfico,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industrialización, uso de la energía.</w:t>
            </w:r>
          </w:p>
          <w:p w14:paraId="021653DF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5.1.1Fenómenos naturales</w:t>
            </w:r>
          </w:p>
          <w:p w14:paraId="2D9C3CA6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5.2 El Estado como regulador del desarrollo.</w:t>
            </w:r>
          </w:p>
          <w:p w14:paraId="79A2ACEB" w14:textId="5DDC8A63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5.2.1 Constitución política de los Estados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Unidos Mexicanos</w:t>
            </w:r>
          </w:p>
          <w:p w14:paraId="134C0BB8" w14:textId="5A5EE4E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5.3 Inseguridad alimentaria, social, política,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jurídica, económica</w:t>
            </w:r>
          </w:p>
          <w:p w14:paraId="676A4CF6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5.4 Distribución de la riqueza</w:t>
            </w:r>
          </w:p>
          <w:p w14:paraId="74175F44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5.5 Estrategias de sustentabilidad para los</w:t>
            </w:r>
          </w:p>
          <w:p w14:paraId="3FAEB51B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escenarios modificados</w:t>
            </w:r>
          </w:p>
          <w:p w14:paraId="2C669AF6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5.5.1 Producción más limpia</w:t>
            </w:r>
          </w:p>
          <w:p w14:paraId="77539426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5.5.2 Procesos ecoeficientes</w:t>
            </w:r>
          </w:p>
          <w:p w14:paraId="5C676C44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5.5.3 Planes de Desarrollo Nacional Estatal y</w:t>
            </w:r>
          </w:p>
          <w:p w14:paraId="6ED640BE" w14:textId="06B14D4A" w:rsidR="00C57EFA" w:rsidRPr="00862CFC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Municipal</w:t>
            </w:r>
          </w:p>
        </w:tc>
        <w:tc>
          <w:tcPr>
            <w:tcW w:w="2599" w:type="dxa"/>
          </w:tcPr>
          <w:p w14:paraId="5B04BE65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5.1 Realizar el cálculo de huella ecológica,</w:t>
            </w:r>
          </w:p>
          <w:p w14:paraId="567ED863" w14:textId="0696ED7A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con el propósito de conocer la forma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 xml:space="preserve">hacer eficiente el uso de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31AD5">
              <w:rPr>
                <w:rFonts w:ascii="Arial" w:hAnsi="Arial" w:cs="Arial"/>
                <w:sz w:val="20"/>
                <w:szCs w:val="20"/>
              </w:rPr>
              <w:t>ecursos.</w:t>
            </w:r>
          </w:p>
          <w:p w14:paraId="5B402029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5.2 Mediante equipos de trabajo, sintetizar</w:t>
            </w:r>
          </w:p>
          <w:p w14:paraId="461EA8B3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los conocimientos de contaminación</w:t>
            </w:r>
          </w:p>
          <w:p w14:paraId="213AB2C5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ambiental en agua, aire y tierra y discutirlos</w:t>
            </w:r>
          </w:p>
          <w:p w14:paraId="29B3C389" w14:textId="7A9C3E0D" w:rsidR="005053AB" w:rsidRPr="00862CFC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en una mesa redonda con la participación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del grupo.</w:t>
            </w:r>
          </w:p>
        </w:tc>
        <w:tc>
          <w:tcPr>
            <w:tcW w:w="2599" w:type="dxa"/>
          </w:tcPr>
          <w:p w14:paraId="41E0110F" w14:textId="77777777" w:rsidR="005053AB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155E33BB" w14:textId="77777777" w:rsidR="00EA40D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  <w:p w14:paraId="23B19B6C" w14:textId="59F356E3" w:rsidR="0087597D" w:rsidRPr="00862CFC" w:rsidRDefault="0087597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</w:tc>
        <w:tc>
          <w:tcPr>
            <w:tcW w:w="2599" w:type="dxa"/>
          </w:tcPr>
          <w:p w14:paraId="56FEF097" w14:textId="77777777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Identifica el escenario modificado</w:t>
            </w:r>
          </w:p>
          <w:p w14:paraId="52A367C3" w14:textId="30165C05" w:rsidR="00731AD5" w:rsidRPr="00731AD5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socioeconómico y flujo de energía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comunidades humanas para influir</w:t>
            </w:r>
          </w:p>
          <w:p w14:paraId="3B81E98E" w14:textId="582D7365" w:rsidR="005053AB" w:rsidRPr="00862CFC" w:rsidRDefault="00731AD5" w:rsidP="00731A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1AD5">
              <w:rPr>
                <w:rFonts w:ascii="Arial" w:hAnsi="Arial" w:cs="Arial"/>
                <w:sz w:val="20"/>
                <w:szCs w:val="20"/>
              </w:rPr>
              <w:t>profesionalmente en la mejora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AD5">
              <w:rPr>
                <w:rFonts w:ascii="Arial" w:hAnsi="Arial" w:cs="Arial"/>
                <w:sz w:val="20"/>
                <w:szCs w:val="20"/>
              </w:rPr>
              <w:t>ecosistema.</w:t>
            </w:r>
          </w:p>
        </w:tc>
        <w:tc>
          <w:tcPr>
            <w:tcW w:w="2600" w:type="dxa"/>
          </w:tcPr>
          <w:p w14:paraId="57198BE6" w14:textId="128EAAB8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BFB4A0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4762277" w:rsidR="005053AB" w:rsidRPr="00233468" w:rsidRDefault="000D3194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elementos de los escenarios modificados</w:t>
            </w:r>
          </w:p>
        </w:tc>
        <w:tc>
          <w:tcPr>
            <w:tcW w:w="6498" w:type="dxa"/>
          </w:tcPr>
          <w:p w14:paraId="1E770817" w14:textId="311BFCBC" w:rsidR="000300FF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3150541" w:rsidR="00DE26A7" w:rsidRPr="00233468" w:rsidRDefault="000D3194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Desarrollar estrategias de sustentabilidad para los escenarios modificados</w:t>
            </w:r>
          </w:p>
        </w:tc>
        <w:tc>
          <w:tcPr>
            <w:tcW w:w="6498" w:type="dxa"/>
          </w:tcPr>
          <w:p w14:paraId="76CEE991" w14:textId="19BB840D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7CE84E0" w:rsidR="00DE26A7" w:rsidRPr="00233468" w:rsidRDefault="000D3194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planes de desarrollo nacional estatal y municipal</w:t>
            </w:r>
          </w:p>
        </w:tc>
        <w:tc>
          <w:tcPr>
            <w:tcW w:w="6498" w:type="dxa"/>
          </w:tcPr>
          <w:p w14:paraId="60A70194" w14:textId="49C5B2B3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3DE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1B55922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3DE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52969F6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3DE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0D2B878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3DE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FB8C9D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3DEF" w:rsidRPr="00862CFC" w14:paraId="7DB6940C" w14:textId="77777777" w:rsidTr="00206F1D">
        <w:tc>
          <w:tcPr>
            <w:tcW w:w="3249" w:type="dxa"/>
          </w:tcPr>
          <w:p w14:paraId="34D87226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4E45A5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108F35B2" w:rsidR="00055465" w:rsidRPr="00106009" w:rsidRDefault="00AA29F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385D14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EDF37D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A2C087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29C0C4C6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F2F9562" w:rsidR="00055465" w:rsidRPr="00106009" w:rsidRDefault="00AA29F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A29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C8FCA37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Proyecto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A579C1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1CE19DD4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6960D05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F9C112F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ADA170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de investigación relacionada a los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4D8D74" w:rsidR="00055465" w:rsidRDefault="00AA29F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E0CC1D3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14C0759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89428DE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60132C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Registro de entrega en tiempo de avances y entrega final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A74ABD2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8F06DE8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B53639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C200C0C" w14:textId="4748786A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Acuña, A., Aguilera, R., Aguayo, M., &amp; Azúcar, G. (2003). Conceptos básicos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medio ambie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A29F9">
              <w:rPr>
                <w:rFonts w:ascii="Arial" w:hAnsi="Arial" w:cs="Arial"/>
                <w:sz w:val="20"/>
                <w:szCs w:val="20"/>
              </w:rPr>
              <w:t>te y desarrollo sustentable. Fondo de la cooperación técnica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República Federal Alemana.</w:t>
            </w:r>
          </w:p>
          <w:p w14:paraId="747B1F1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Academia Nacional de Educación Ambiental (ANEA)</w:t>
            </w:r>
          </w:p>
          <w:p w14:paraId="3265BE5B" w14:textId="42404F0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http://anea.org.mx/Documentos.htm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44477AA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Agenda 21 - United Nations Division for Sustainable Development</w:t>
            </w:r>
          </w:p>
          <w:p w14:paraId="51AF56A0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http://www.un.org/esa/sustdev/documents/agenda21/index.htm</w:t>
            </w:r>
          </w:p>
          <w:p w14:paraId="4E9B15DC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Alianza Geografica. http://www.alianzageografica.org/leccion.html</w:t>
            </w:r>
          </w:p>
          <w:p w14:paraId="2EA27BA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Azqueta, O. (2002). Introducción a la economía ambiental. Madrid: Mc Graw-Hill.</w:t>
            </w:r>
          </w:p>
          <w:p w14:paraId="6C341989" w14:textId="51CD3F3C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Beltrán-Morales L.F., Urciaga-García J.L. y Ortega-Rubio A. (Eds). (2006).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sustentable ¿mito o realidad? Centro de Investigaciones Biológicas del Noroeste,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S.C. 272.</w:t>
            </w:r>
          </w:p>
          <w:p w14:paraId="1EEB8E80" w14:textId="7265B3DC" w:rsidR="00106009" w:rsidRPr="00862CFC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Brañes R. (2000). Manual de derecho ambiental mexicano. México, Editorial Fondo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Cultura Económica.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5242D7" w14:textId="77777777" w:rsidR="0010600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7FDB0F03" w14:textId="77777777" w:rsidR="00AA29F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0975D7C2" w14:textId="3D778D79" w:rsidR="00AA29F9" w:rsidRPr="00862CFC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pizarron</w:t>
            </w:r>
          </w:p>
        </w:tc>
      </w:tr>
    </w:tbl>
    <w:p w14:paraId="460D3269" w14:textId="11DBEF49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7"/>
        <w:gridCol w:w="747"/>
        <w:gridCol w:w="748"/>
        <w:gridCol w:w="748"/>
        <w:gridCol w:w="748"/>
        <w:gridCol w:w="748"/>
        <w:gridCol w:w="748"/>
        <w:gridCol w:w="748"/>
        <w:gridCol w:w="748"/>
        <w:gridCol w:w="785"/>
        <w:gridCol w:w="785"/>
        <w:gridCol w:w="785"/>
        <w:gridCol w:w="794"/>
        <w:gridCol w:w="794"/>
        <w:gridCol w:w="794"/>
        <w:gridCol w:w="794"/>
      </w:tblGrid>
      <w:tr w:rsidR="00862CFC" w:rsidRPr="00862CFC" w14:paraId="5BE371E2" w14:textId="77777777" w:rsidTr="00D2692B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0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9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1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1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1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D3194" w:rsidRPr="00862CFC" w14:paraId="23032042" w14:textId="77777777" w:rsidTr="00D2692B">
        <w:tc>
          <w:tcPr>
            <w:tcW w:w="962" w:type="dxa"/>
          </w:tcPr>
          <w:p w14:paraId="61B1CD54" w14:textId="77777777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0" w:type="dxa"/>
          </w:tcPr>
          <w:p w14:paraId="5878A32C" w14:textId="4B66F330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DF39E1D" w14:textId="46BFE953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73DBFA0" w14:textId="60C027B3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38C4E68" w14:textId="1234D54A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B553D20" w14:textId="3D481AB1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01272DF" w14:textId="55085F98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F5F75AC" w14:textId="76D1AB00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43CD3087" w14:textId="586D5E90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616CF327" w14:textId="0F5F5C87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4DCC5BF2" w14:textId="03397108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663DB8DD" w14:textId="5D7F99BB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6AC3F09" w14:textId="55880047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F36977C" w14:textId="4A5A636C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3AD913A9" w14:textId="08A4F61D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09661284" w14:textId="3B825BC6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5850978C" w14:textId="13079F56" w:rsidR="000D3194" w:rsidRPr="00862CFC" w:rsidRDefault="000D3194" w:rsidP="000D31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</w:tr>
      <w:tr w:rsidR="00862CFC" w:rsidRPr="00862CFC" w14:paraId="372291F2" w14:textId="77777777" w:rsidTr="00D2692B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0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D2692B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0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1907CDD" w:rsidR="00862CFC" w:rsidRPr="00862CFC" w:rsidRDefault="00B37C54" w:rsidP="00B37C5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1E8CCC1C" w:rsidR="00862CFC" w:rsidRPr="00862CFC" w:rsidRDefault="00D2692B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862CFC" w:rsidRPr="00862CFC">
              <w:rPr>
                <w:rFonts w:ascii="Arial" w:hAnsi="Arial" w:cs="Arial"/>
                <w:sz w:val="20"/>
                <w:szCs w:val="20"/>
              </w:rPr>
              <w:t>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D2692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sectPr w:rsidR="007A22EC" w:rsidSect="00D2692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4597B" w14:textId="77777777" w:rsidR="00DC2F7D" w:rsidRDefault="00DC2F7D" w:rsidP="00862CFC">
      <w:pPr>
        <w:spacing w:after="0" w:line="240" w:lineRule="auto"/>
      </w:pPr>
      <w:r>
        <w:separator/>
      </w:r>
    </w:p>
  </w:endnote>
  <w:endnote w:type="continuationSeparator" w:id="0">
    <w:p w14:paraId="4CDDA1A4" w14:textId="77777777" w:rsidR="00DC2F7D" w:rsidRDefault="00DC2F7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6BAEE" w14:textId="77777777" w:rsidR="00DC2F7D" w:rsidRDefault="00DC2F7D" w:rsidP="00862CFC">
      <w:pPr>
        <w:spacing w:after="0" w:line="240" w:lineRule="auto"/>
      </w:pPr>
      <w:r>
        <w:separator/>
      </w:r>
    </w:p>
  </w:footnote>
  <w:footnote w:type="continuationSeparator" w:id="0">
    <w:p w14:paraId="56D3D2CE" w14:textId="77777777" w:rsidR="00DC2F7D" w:rsidRDefault="00DC2F7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DC2F7D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55522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D3194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D3194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7D1D"/>
    <w:multiLevelType w:val="hybridMultilevel"/>
    <w:tmpl w:val="35E2A2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1C81"/>
    <w:rsid w:val="000A48E5"/>
    <w:rsid w:val="000B7A39"/>
    <w:rsid w:val="000C31CA"/>
    <w:rsid w:val="000D3194"/>
    <w:rsid w:val="001024C5"/>
    <w:rsid w:val="00106009"/>
    <w:rsid w:val="001067AA"/>
    <w:rsid w:val="00160D9F"/>
    <w:rsid w:val="001D7549"/>
    <w:rsid w:val="00206F1D"/>
    <w:rsid w:val="00233468"/>
    <w:rsid w:val="00293FBE"/>
    <w:rsid w:val="00373659"/>
    <w:rsid w:val="00493A2D"/>
    <w:rsid w:val="004F065B"/>
    <w:rsid w:val="005053AB"/>
    <w:rsid w:val="00536B92"/>
    <w:rsid w:val="005624BE"/>
    <w:rsid w:val="0057748F"/>
    <w:rsid w:val="00593663"/>
    <w:rsid w:val="0063070E"/>
    <w:rsid w:val="00643DEF"/>
    <w:rsid w:val="00731AD5"/>
    <w:rsid w:val="00744965"/>
    <w:rsid w:val="007A22EC"/>
    <w:rsid w:val="00824F18"/>
    <w:rsid w:val="00862CFC"/>
    <w:rsid w:val="00865C4A"/>
    <w:rsid w:val="0087597D"/>
    <w:rsid w:val="008C7776"/>
    <w:rsid w:val="009905D5"/>
    <w:rsid w:val="00992C3B"/>
    <w:rsid w:val="00A37058"/>
    <w:rsid w:val="00A676AA"/>
    <w:rsid w:val="00AA29F9"/>
    <w:rsid w:val="00AD3509"/>
    <w:rsid w:val="00AE14E7"/>
    <w:rsid w:val="00B23CAE"/>
    <w:rsid w:val="00B31A95"/>
    <w:rsid w:val="00B37C54"/>
    <w:rsid w:val="00BA5082"/>
    <w:rsid w:val="00BE7924"/>
    <w:rsid w:val="00C127DC"/>
    <w:rsid w:val="00C2069A"/>
    <w:rsid w:val="00C57EFA"/>
    <w:rsid w:val="00D1749F"/>
    <w:rsid w:val="00D2692B"/>
    <w:rsid w:val="00DC2F7D"/>
    <w:rsid w:val="00DC46A5"/>
    <w:rsid w:val="00DD7D08"/>
    <w:rsid w:val="00DE26A7"/>
    <w:rsid w:val="00EA40DC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2017-09-10T18:26:00Z</dcterms:created>
  <dcterms:modified xsi:type="dcterms:W3CDTF">2017-09-10T18:26:00Z</dcterms:modified>
</cp:coreProperties>
</file>